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70" w:rsidRPr="000D132E" w:rsidRDefault="00B32B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  <w:bookmarkStart w:id="0" w:name="page1"/>
      <w:bookmarkStart w:id="1" w:name="_GoBack"/>
      <w:bookmarkEnd w:id="0"/>
      <w:bookmarkEnd w:id="1"/>
      <w:r w:rsidRPr="000D132E">
        <w:rPr>
          <w:noProof/>
          <w:lang w:val="fr-C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3072130</wp:posOffset>
            </wp:positionH>
            <wp:positionV relativeFrom="page">
              <wp:posOffset>847090</wp:posOffset>
            </wp:positionV>
            <wp:extent cx="1790700" cy="12941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  <w:lang w:val="fr-CA"/>
        </w:rPr>
      </w:pPr>
      <w:r w:rsidRPr="000D132E">
        <w:rPr>
          <w:rFonts w:ascii="Calibri" w:hAnsi="Calibri" w:cs="Calibri"/>
          <w:b/>
          <w:bCs/>
          <w:sz w:val="24"/>
          <w:szCs w:val="24"/>
          <w:lang w:val="fr-CA"/>
        </w:rPr>
        <w:t xml:space="preserve">Claire Citeau, </w:t>
      </w:r>
      <w:r w:rsidR="00715F43">
        <w:rPr>
          <w:rFonts w:ascii="Calibri" w:hAnsi="Calibri" w:cs="Calibri"/>
          <w:b/>
          <w:bCs/>
          <w:sz w:val="24"/>
          <w:szCs w:val="24"/>
          <w:lang w:val="fr-CA"/>
        </w:rPr>
        <w:t xml:space="preserve">directrice générale, Alliance canadienne du commerce agroalimentaire </w:t>
      </w:r>
      <w:r w:rsidRPr="000D132E">
        <w:rPr>
          <w:rFonts w:ascii="Calibri" w:hAnsi="Calibri" w:cs="Calibri"/>
          <w:b/>
          <w:bCs/>
          <w:sz w:val="24"/>
          <w:szCs w:val="24"/>
          <w:lang w:val="fr-CA"/>
        </w:rPr>
        <w:t>(</w:t>
      </w:r>
      <w:r w:rsidR="00715F43">
        <w:rPr>
          <w:rFonts w:ascii="Calibri" w:hAnsi="Calibri" w:cs="Calibri"/>
          <w:b/>
          <w:bCs/>
          <w:sz w:val="24"/>
          <w:szCs w:val="24"/>
          <w:lang w:val="fr-CA"/>
        </w:rPr>
        <w:t>ACCA)</w:t>
      </w: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71493" w:rsidP="00A7149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fr-CA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lang w:val="fr-CA"/>
        </w:rPr>
        <w:t xml:space="preserve">Présentation au Comité permanent de l’agriculture et de l’agroalimentaire concernant </w:t>
      </w:r>
      <w:r w:rsidR="00CD0722">
        <w:rPr>
          <w:rFonts w:ascii="Calibri" w:hAnsi="Calibri" w:cs="Calibri"/>
          <w:b/>
          <w:bCs/>
          <w:i/>
          <w:iCs/>
          <w:sz w:val="24"/>
          <w:szCs w:val="24"/>
          <w:lang w:val="fr-CA"/>
        </w:rPr>
        <w:t>son</w:t>
      </w:r>
      <w:r>
        <w:rPr>
          <w:rFonts w:ascii="Calibri" w:hAnsi="Calibri" w:cs="Calibri"/>
          <w:b/>
          <w:bCs/>
          <w:i/>
          <w:iCs/>
          <w:sz w:val="24"/>
          <w:szCs w:val="24"/>
          <w:lang w:val="fr-CA"/>
        </w:rPr>
        <w:t xml:space="preserve"> étude sur la Politique alimentaire pour le Canada </w:t>
      </w: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714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fr-CA"/>
        </w:rPr>
      </w:pPr>
      <w:r>
        <w:rPr>
          <w:rFonts w:ascii="Calibri" w:hAnsi="Calibri" w:cs="Calibri"/>
          <w:i/>
          <w:iCs/>
          <w:sz w:val="24"/>
          <w:szCs w:val="24"/>
          <w:lang w:val="fr-CA"/>
        </w:rPr>
        <w:t xml:space="preserve">28 septembre </w:t>
      </w:r>
      <w:r w:rsidR="00A01570" w:rsidRPr="000D132E">
        <w:rPr>
          <w:rFonts w:ascii="Calibri" w:hAnsi="Calibri" w:cs="Calibri"/>
          <w:i/>
          <w:iCs/>
          <w:sz w:val="24"/>
          <w:szCs w:val="24"/>
          <w:lang w:val="fr-CA"/>
        </w:rPr>
        <w:t>2017</w:t>
      </w: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107F96" w:rsidP="00B03E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3" w:lineRule="auto"/>
        <w:ind w:right="240"/>
        <w:rPr>
          <w:rFonts w:ascii="Symbol" w:hAnsi="Symbol" w:cs="Symbol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C’e</w:t>
      </w:r>
      <w:r w:rsidR="00A71493">
        <w:rPr>
          <w:rFonts w:ascii="Calibri" w:hAnsi="Calibri" w:cs="Calibri"/>
          <w:sz w:val="24"/>
          <w:szCs w:val="24"/>
          <w:lang w:val="fr-CA"/>
        </w:rPr>
        <w:t xml:space="preserve">st pour moi un plaisir d’être ici </w:t>
      </w:r>
      <w:r w:rsidR="0032795F">
        <w:rPr>
          <w:rFonts w:ascii="Calibri" w:hAnsi="Calibri" w:cs="Calibri"/>
          <w:sz w:val="24"/>
          <w:szCs w:val="24"/>
          <w:lang w:val="fr-CA"/>
        </w:rPr>
        <w:t>aujourd’hui et</w:t>
      </w:r>
      <w:r>
        <w:rPr>
          <w:rFonts w:ascii="Calibri" w:hAnsi="Calibri" w:cs="Calibri"/>
          <w:sz w:val="24"/>
          <w:szCs w:val="24"/>
          <w:lang w:val="fr-CA"/>
        </w:rPr>
        <w:t xml:space="preserve"> de vous </w:t>
      </w:r>
      <w:r w:rsidR="00A71493">
        <w:rPr>
          <w:rFonts w:ascii="Calibri" w:hAnsi="Calibri" w:cs="Calibri"/>
          <w:sz w:val="24"/>
          <w:szCs w:val="24"/>
          <w:lang w:val="fr-CA"/>
        </w:rPr>
        <w:t xml:space="preserve">entretenir </w:t>
      </w:r>
      <w:r>
        <w:rPr>
          <w:rFonts w:ascii="Calibri" w:hAnsi="Calibri" w:cs="Calibri"/>
          <w:sz w:val="24"/>
          <w:szCs w:val="24"/>
          <w:lang w:val="fr-CA"/>
        </w:rPr>
        <w:t xml:space="preserve">de la Politique alimentaire pour le Canada au nom de l’Alliance canadienne du commerce agroalimentaire. </w:t>
      </w: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61" w:lineRule="exact"/>
        <w:rPr>
          <w:rFonts w:ascii="Symbol" w:hAnsi="Symbol" w:cs="Symbol"/>
          <w:sz w:val="24"/>
          <w:szCs w:val="24"/>
          <w:lang w:val="fr-CA"/>
        </w:rPr>
      </w:pPr>
    </w:p>
    <w:p w:rsidR="00A01570" w:rsidRPr="000D132E" w:rsidRDefault="00107F96" w:rsidP="00B03E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Symbol" w:hAnsi="Symbol" w:cs="Symbol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L’ACCA est une coalition d’organismes nationaux qui milit</w:t>
      </w:r>
      <w:r w:rsidR="0060184E">
        <w:rPr>
          <w:rFonts w:ascii="Calibri" w:hAnsi="Calibri" w:cs="Calibri"/>
          <w:sz w:val="24"/>
          <w:szCs w:val="24"/>
          <w:lang w:val="fr-CA"/>
        </w:rPr>
        <w:t>ent</w:t>
      </w:r>
      <w:r>
        <w:rPr>
          <w:rFonts w:ascii="Calibri" w:hAnsi="Calibri" w:cs="Calibri"/>
          <w:sz w:val="24"/>
          <w:szCs w:val="24"/>
          <w:lang w:val="fr-CA"/>
        </w:rPr>
        <w:t xml:space="preserve"> en faveur d’un contexte commercial international plus libre et plus équitable pour le secteur des exportations agricoles et agroalimentaires</w:t>
      </w:r>
      <w:r w:rsidR="00D009D7" w:rsidRPr="00D009D7">
        <w:rPr>
          <w:rFonts w:ascii="Calibri" w:hAnsi="Calibri" w:cs="Calibri"/>
          <w:sz w:val="24"/>
          <w:szCs w:val="24"/>
          <w:lang w:val="fr-CA"/>
        </w:rPr>
        <w:t xml:space="preserve"> </w:t>
      </w:r>
      <w:r w:rsidR="00D009D7">
        <w:rPr>
          <w:rFonts w:ascii="Calibri" w:hAnsi="Calibri" w:cs="Calibri"/>
          <w:sz w:val="24"/>
          <w:szCs w:val="24"/>
          <w:lang w:val="fr-CA"/>
        </w:rPr>
        <w:t>canadiennes</w:t>
      </w:r>
      <w:r>
        <w:rPr>
          <w:rFonts w:ascii="Calibri" w:hAnsi="Calibri" w:cs="Calibri"/>
          <w:sz w:val="24"/>
          <w:szCs w:val="24"/>
          <w:lang w:val="fr-CA"/>
        </w:rPr>
        <w:t>.</w:t>
      </w:r>
      <w:r w:rsidR="00A01570" w:rsidRPr="000D132E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 xml:space="preserve">Parmi ses membres, l’ACCA compte des </w:t>
      </w:r>
      <w:r w:rsidR="0060184E">
        <w:rPr>
          <w:rFonts w:ascii="Calibri" w:hAnsi="Calibri" w:cs="Calibri"/>
          <w:sz w:val="24"/>
          <w:szCs w:val="24"/>
          <w:lang w:val="fr-CA"/>
        </w:rPr>
        <w:t>producteurs</w:t>
      </w:r>
      <w:r>
        <w:rPr>
          <w:rFonts w:ascii="Calibri" w:hAnsi="Calibri" w:cs="Calibri"/>
          <w:sz w:val="24"/>
          <w:szCs w:val="24"/>
          <w:lang w:val="fr-CA"/>
        </w:rPr>
        <w:t xml:space="preserve">, des transformateurs et </w:t>
      </w:r>
      <w:r w:rsidR="0060184E">
        <w:rPr>
          <w:rFonts w:ascii="Calibri" w:hAnsi="Calibri" w:cs="Calibri"/>
          <w:sz w:val="24"/>
          <w:szCs w:val="24"/>
          <w:lang w:val="fr-CA"/>
        </w:rPr>
        <w:t>des exportateurs de bœuf, de porc, de viande, de grains, de céréales, de légumineuses, de soya, de canola ainsi que de sucre et</w:t>
      </w:r>
      <w:r w:rsidR="0032795F">
        <w:rPr>
          <w:rFonts w:ascii="Calibri" w:hAnsi="Calibri" w:cs="Calibri"/>
          <w:sz w:val="24"/>
          <w:szCs w:val="24"/>
          <w:lang w:val="fr-CA"/>
        </w:rPr>
        <w:t xml:space="preserve"> </w:t>
      </w:r>
      <w:r w:rsidR="0060184E">
        <w:rPr>
          <w:rFonts w:ascii="Calibri" w:hAnsi="Calibri" w:cs="Calibri"/>
          <w:sz w:val="24"/>
          <w:szCs w:val="24"/>
          <w:lang w:val="fr-CA"/>
        </w:rPr>
        <w:t>de malt</w:t>
      </w:r>
      <w:r w:rsidR="00154267">
        <w:rPr>
          <w:rFonts w:ascii="Calibri" w:hAnsi="Calibri" w:cs="Calibri"/>
          <w:sz w:val="24"/>
          <w:szCs w:val="24"/>
          <w:lang w:val="fr-CA"/>
        </w:rPr>
        <w:t>,</w:t>
      </w:r>
      <w:r w:rsidR="0060184E">
        <w:rPr>
          <w:rFonts w:ascii="Calibri" w:hAnsi="Calibri" w:cs="Calibri"/>
          <w:sz w:val="24"/>
          <w:szCs w:val="24"/>
          <w:lang w:val="fr-CA"/>
        </w:rPr>
        <w:t xml:space="preserve"> de même que des représentants de l’industrie de l’alimentation.</w:t>
      </w:r>
      <w:r w:rsidR="00A01570" w:rsidRPr="000D132E">
        <w:rPr>
          <w:rFonts w:ascii="Calibri" w:hAnsi="Calibri" w:cs="Calibri"/>
          <w:sz w:val="24"/>
          <w:szCs w:val="24"/>
          <w:lang w:val="fr-CA"/>
        </w:rPr>
        <w:t xml:space="preserve"> </w:t>
      </w:r>
      <w:r w:rsidR="0060184E">
        <w:rPr>
          <w:rFonts w:ascii="Calibri" w:hAnsi="Calibri" w:cs="Calibri"/>
          <w:sz w:val="24"/>
          <w:szCs w:val="24"/>
          <w:lang w:val="fr-CA"/>
        </w:rPr>
        <w:t xml:space="preserve">Collectivement, les membres de l’ACCA représentent </w:t>
      </w:r>
      <w:r w:rsidR="00D009D7">
        <w:rPr>
          <w:rFonts w:ascii="Calibri" w:hAnsi="Calibri" w:cs="Calibri"/>
          <w:sz w:val="24"/>
          <w:szCs w:val="24"/>
          <w:lang w:val="fr-CA"/>
        </w:rPr>
        <w:t xml:space="preserve">plus de </w:t>
      </w:r>
      <w:r w:rsidR="0060184E">
        <w:rPr>
          <w:rFonts w:ascii="Calibri" w:hAnsi="Calibri" w:cs="Calibri"/>
          <w:sz w:val="24"/>
          <w:szCs w:val="24"/>
          <w:lang w:val="fr-CA"/>
        </w:rPr>
        <w:t xml:space="preserve">90 pour cent </w:t>
      </w:r>
      <w:r w:rsidR="00872263">
        <w:rPr>
          <w:rFonts w:ascii="Calibri" w:hAnsi="Calibri" w:cs="Calibri"/>
          <w:sz w:val="24"/>
          <w:szCs w:val="24"/>
          <w:lang w:val="fr-CA"/>
        </w:rPr>
        <w:t xml:space="preserve">des exportations agricoles </w:t>
      </w:r>
      <w:r w:rsidR="00D009D7">
        <w:rPr>
          <w:rFonts w:ascii="Calibri" w:hAnsi="Calibri" w:cs="Calibri"/>
          <w:sz w:val="24"/>
          <w:szCs w:val="24"/>
          <w:lang w:val="fr-CA"/>
        </w:rPr>
        <w:t xml:space="preserve">et agroalimentaires du Canada, lesquelles ont dépassé 55 milliards de dollars l’an dernier et permettent de </w:t>
      </w:r>
      <w:r w:rsidR="0032795F">
        <w:rPr>
          <w:rFonts w:ascii="Calibri" w:hAnsi="Calibri" w:cs="Calibri"/>
          <w:sz w:val="24"/>
          <w:szCs w:val="24"/>
          <w:lang w:val="fr-CA"/>
        </w:rPr>
        <w:t>soutenir</w:t>
      </w:r>
      <w:r w:rsidR="00D009D7">
        <w:rPr>
          <w:rFonts w:ascii="Calibri" w:hAnsi="Calibri" w:cs="Calibri"/>
          <w:sz w:val="24"/>
          <w:szCs w:val="24"/>
          <w:lang w:val="fr-CA"/>
        </w:rPr>
        <w:t xml:space="preserve"> des centaines de milliers d’emplois dans les diverses collectivités du pays.</w:t>
      </w: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76" w:lineRule="exact"/>
        <w:rPr>
          <w:rFonts w:ascii="Symbol" w:hAnsi="Symbol" w:cs="Symbol"/>
          <w:sz w:val="24"/>
          <w:szCs w:val="24"/>
          <w:lang w:val="fr-CA"/>
        </w:rPr>
      </w:pPr>
    </w:p>
    <w:p w:rsidR="00A01570" w:rsidRPr="000D132E" w:rsidRDefault="00D009D7" w:rsidP="00B03E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 xml:space="preserve">Le </w:t>
      </w:r>
      <w:r w:rsidR="00A01570" w:rsidRPr="000D132E">
        <w:rPr>
          <w:rFonts w:ascii="Calibri" w:hAnsi="Calibri" w:cs="Calibri"/>
          <w:sz w:val="24"/>
          <w:szCs w:val="24"/>
          <w:lang w:val="fr-CA"/>
        </w:rPr>
        <w:t xml:space="preserve">Canada </w:t>
      </w:r>
      <w:r>
        <w:rPr>
          <w:rFonts w:ascii="Calibri" w:hAnsi="Calibri" w:cs="Calibri"/>
          <w:sz w:val="24"/>
          <w:szCs w:val="24"/>
          <w:lang w:val="fr-CA"/>
        </w:rPr>
        <w:t>est l’un des pays peu nombreux qui peu</w:t>
      </w:r>
      <w:r w:rsidR="00154267">
        <w:rPr>
          <w:rFonts w:ascii="Calibri" w:hAnsi="Calibri" w:cs="Calibri"/>
          <w:sz w:val="24"/>
          <w:szCs w:val="24"/>
          <w:lang w:val="fr-CA"/>
        </w:rPr>
        <w:t xml:space="preserve">vent </w:t>
      </w:r>
      <w:r>
        <w:rPr>
          <w:rFonts w:ascii="Calibri" w:hAnsi="Calibri" w:cs="Calibri"/>
          <w:sz w:val="24"/>
          <w:szCs w:val="24"/>
          <w:lang w:val="fr-CA"/>
        </w:rPr>
        <w:t xml:space="preserve">non seulement nourrir </w:t>
      </w:r>
      <w:r w:rsidR="00154267">
        <w:rPr>
          <w:rFonts w:ascii="Calibri" w:hAnsi="Calibri" w:cs="Calibri"/>
          <w:sz w:val="24"/>
          <w:szCs w:val="24"/>
          <w:lang w:val="fr-CA"/>
        </w:rPr>
        <w:t xml:space="preserve">leur </w:t>
      </w:r>
      <w:r>
        <w:rPr>
          <w:rFonts w:ascii="Calibri" w:hAnsi="Calibri" w:cs="Calibri"/>
          <w:sz w:val="24"/>
          <w:szCs w:val="24"/>
          <w:lang w:val="fr-CA"/>
        </w:rPr>
        <w:t>population, mais se doi</w:t>
      </w:r>
      <w:r w:rsidR="00154267">
        <w:rPr>
          <w:rFonts w:ascii="Calibri" w:hAnsi="Calibri" w:cs="Calibri"/>
          <w:sz w:val="24"/>
          <w:szCs w:val="24"/>
          <w:lang w:val="fr-CA"/>
        </w:rPr>
        <w:t xml:space="preserve">vent </w:t>
      </w:r>
      <w:r>
        <w:rPr>
          <w:rFonts w:ascii="Calibri" w:hAnsi="Calibri" w:cs="Calibri"/>
          <w:sz w:val="24"/>
          <w:szCs w:val="24"/>
          <w:lang w:val="fr-CA"/>
        </w:rPr>
        <w:t xml:space="preserve">de produire et vendre des produits alimentaires au reste du monde pour assurer la croissance et la prospérité de </w:t>
      </w:r>
      <w:r w:rsidR="00154267">
        <w:rPr>
          <w:rFonts w:ascii="Calibri" w:hAnsi="Calibri" w:cs="Calibri"/>
          <w:sz w:val="24"/>
          <w:szCs w:val="24"/>
          <w:lang w:val="fr-CA"/>
        </w:rPr>
        <w:t xml:space="preserve">leur </w:t>
      </w:r>
      <w:r>
        <w:rPr>
          <w:rFonts w:ascii="Calibri" w:hAnsi="Calibri" w:cs="Calibri"/>
          <w:sz w:val="24"/>
          <w:szCs w:val="24"/>
          <w:lang w:val="fr-CA"/>
        </w:rPr>
        <w:t>secteur agricole.</w:t>
      </w:r>
      <w:r w:rsidR="00A01570" w:rsidRPr="000D132E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 xml:space="preserve">L’industrie canadienne de transformation des aliments </w:t>
      </w:r>
      <w:r w:rsidR="00547E4E">
        <w:rPr>
          <w:rFonts w:ascii="Calibri" w:hAnsi="Calibri" w:cs="Calibri"/>
          <w:sz w:val="24"/>
          <w:szCs w:val="24"/>
          <w:lang w:val="fr-CA"/>
        </w:rPr>
        <w:t>est beaucoup plus considérable que si nous n’avions qu’à desservir notre marché intérieur.</w:t>
      </w: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fr-CA"/>
        </w:rPr>
      </w:pPr>
    </w:p>
    <w:p w:rsidR="00A01570" w:rsidRPr="000D132E" w:rsidRDefault="00547E4E" w:rsidP="00B03E9D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34" w:lineRule="auto"/>
        <w:rPr>
          <w:rFonts w:ascii="Symbol" w:hAnsi="Symbol" w:cs="Symbol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Neuf producteurs agricoles sur dix au Canada dépendent des exportations pour assurer leur subsistance, ce qui explique que la production dépasse la consommation et la demande intérieures.</w:t>
      </w: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fr-CA"/>
        </w:rPr>
      </w:pPr>
    </w:p>
    <w:p w:rsidR="00A01570" w:rsidRPr="000D132E" w:rsidRDefault="00547E4E" w:rsidP="00B03E9D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9" w:lineRule="auto"/>
        <w:ind w:right="1160"/>
        <w:rPr>
          <w:rFonts w:ascii="Symbol" w:hAnsi="Symbol" w:cs="Symbol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 xml:space="preserve">Un emploi sur deux en production </w:t>
      </w:r>
      <w:r w:rsidR="00154267">
        <w:rPr>
          <w:rFonts w:ascii="Calibri" w:hAnsi="Calibri" w:cs="Calibri"/>
          <w:sz w:val="24"/>
          <w:szCs w:val="24"/>
          <w:lang w:val="fr-CA"/>
        </w:rPr>
        <w:t xml:space="preserve">des cultures </w:t>
      </w:r>
      <w:r>
        <w:rPr>
          <w:rFonts w:ascii="Calibri" w:hAnsi="Calibri" w:cs="Calibri"/>
          <w:sz w:val="24"/>
          <w:szCs w:val="24"/>
          <w:lang w:val="fr-CA"/>
        </w:rPr>
        <w:t xml:space="preserve">dépend des exportations et un emploi sur </w:t>
      </w:r>
      <w:r w:rsidR="005A080A">
        <w:rPr>
          <w:rFonts w:ascii="Calibri" w:hAnsi="Calibri" w:cs="Calibri"/>
          <w:sz w:val="24"/>
          <w:szCs w:val="24"/>
          <w:lang w:val="fr-CA"/>
        </w:rPr>
        <w:t xml:space="preserve">quatre </w:t>
      </w:r>
      <w:r>
        <w:rPr>
          <w:rFonts w:ascii="Calibri" w:hAnsi="Calibri" w:cs="Calibri"/>
          <w:sz w:val="24"/>
          <w:szCs w:val="24"/>
          <w:lang w:val="fr-CA"/>
        </w:rPr>
        <w:t>en transformation des aliments.</w:t>
      </w: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66" w:lineRule="exact"/>
        <w:rPr>
          <w:rFonts w:ascii="Symbol" w:hAnsi="Symbol" w:cs="Symbol"/>
          <w:sz w:val="24"/>
          <w:szCs w:val="24"/>
          <w:lang w:val="fr-CA"/>
        </w:rPr>
      </w:pPr>
    </w:p>
    <w:p w:rsidR="00A01570" w:rsidRPr="000D132E" w:rsidRDefault="00575E8D" w:rsidP="00B03E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Symbol" w:hAnsi="Symbol" w:cs="Symbol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 xml:space="preserve">La production du secteur agricole canadien répond aux besoins de la </w:t>
      </w:r>
      <w:r w:rsidR="0032795F">
        <w:rPr>
          <w:rFonts w:ascii="Calibri" w:hAnsi="Calibri" w:cs="Calibri"/>
          <w:sz w:val="24"/>
          <w:szCs w:val="24"/>
          <w:lang w:val="fr-CA"/>
        </w:rPr>
        <w:t>population</w:t>
      </w:r>
      <w:r>
        <w:rPr>
          <w:rFonts w:ascii="Calibri" w:hAnsi="Calibri" w:cs="Calibri"/>
          <w:sz w:val="24"/>
          <w:szCs w:val="24"/>
          <w:lang w:val="fr-CA"/>
        </w:rPr>
        <w:t xml:space="preserve"> mondiale et elle</w:t>
      </w:r>
      <w:r w:rsidR="00154267">
        <w:rPr>
          <w:rFonts w:ascii="Calibri" w:hAnsi="Calibri" w:cs="Calibri"/>
          <w:sz w:val="24"/>
          <w:szCs w:val="24"/>
          <w:lang w:val="fr-CA"/>
        </w:rPr>
        <w:t xml:space="preserve"> est</w:t>
      </w:r>
      <w:r>
        <w:rPr>
          <w:rFonts w:ascii="Calibri" w:hAnsi="Calibri" w:cs="Calibri"/>
          <w:sz w:val="24"/>
          <w:szCs w:val="24"/>
          <w:lang w:val="fr-CA"/>
        </w:rPr>
        <w:t xml:space="preserve"> en mesure de continuer dans cette voie.</w:t>
      </w:r>
      <w:r w:rsidR="00A01570" w:rsidRPr="000D132E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>Toutefois, l’agriculture canadienne ne peut pas demeurer concurrentielle sans détenir un accès viable aux marchés d’exportation.</w:t>
      </w: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72" w:lineRule="exact"/>
        <w:rPr>
          <w:rFonts w:ascii="Symbol" w:hAnsi="Symbol" w:cs="Symbol"/>
          <w:sz w:val="24"/>
          <w:szCs w:val="24"/>
          <w:lang w:val="fr-CA"/>
        </w:rPr>
      </w:pPr>
    </w:p>
    <w:p w:rsidR="00A01570" w:rsidRPr="000D132E" w:rsidRDefault="00575E8D" w:rsidP="00B03E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Symbol" w:hAnsi="Symbol" w:cs="Symbol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 xml:space="preserve">L’ACCA accueille favorablement les quatre piliers proposés par le gouvernement dans le cadre de sa </w:t>
      </w:r>
      <w:r w:rsidRPr="00575E8D">
        <w:rPr>
          <w:rFonts w:ascii="Calibri" w:hAnsi="Calibri" w:cs="Calibri"/>
          <w:i/>
          <w:sz w:val="24"/>
          <w:szCs w:val="24"/>
          <w:lang w:val="fr-CA"/>
        </w:rPr>
        <w:t>Politique alimentaire pour le Canada</w:t>
      </w:r>
      <w:r>
        <w:rPr>
          <w:rFonts w:ascii="Calibri" w:hAnsi="Calibri" w:cs="Calibri"/>
          <w:sz w:val="24"/>
          <w:szCs w:val="24"/>
          <w:lang w:val="fr-CA"/>
        </w:rPr>
        <w:t xml:space="preserve">. Mais elle croit cependant que la réussite de cette politique exigera des engagements </w:t>
      </w:r>
      <w:r w:rsidR="007F7C6F">
        <w:rPr>
          <w:rFonts w:ascii="Calibri" w:hAnsi="Calibri" w:cs="Calibri"/>
          <w:sz w:val="24"/>
          <w:szCs w:val="24"/>
          <w:lang w:val="fr-CA"/>
        </w:rPr>
        <w:t xml:space="preserve">dont la portée dépasse le mandat du ministre </w:t>
      </w:r>
      <w:r w:rsidR="007F7C6F">
        <w:rPr>
          <w:rFonts w:ascii="Calibri" w:hAnsi="Calibri" w:cs="Calibri"/>
          <w:sz w:val="24"/>
          <w:szCs w:val="24"/>
          <w:lang w:val="fr-CA"/>
        </w:rPr>
        <w:lastRenderedPageBreak/>
        <w:t>d’Agriculture et Agroalimentaire Canada.</w:t>
      </w: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4335D7" w:rsidP="00B03E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1" w:lineRule="auto"/>
        <w:rPr>
          <w:rFonts w:ascii="Symbol" w:hAnsi="Symbol" w:cs="Symbol"/>
          <w:sz w:val="24"/>
          <w:szCs w:val="24"/>
          <w:lang w:val="fr-CA"/>
        </w:rPr>
      </w:pPr>
      <w:bookmarkStart w:id="2" w:name="page2"/>
      <w:bookmarkEnd w:id="2"/>
      <w:r>
        <w:rPr>
          <w:rFonts w:ascii="Calibri" w:hAnsi="Calibri" w:cs="Calibri"/>
          <w:sz w:val="24"/>
          <w:szCs w:val="24"/>
          <w:lang w:val="fr-CA"/>
        </w:rPr>
        <w:t>Le c</w:t>
      </w:r>
      <w:r w:rsidR="007F7C6F">
        <w:rPr>
          <w:rFonts w:ascii="Calibri" w:hAnsi="Calibri" w:cs="Calibri"/>
          <w:sz w:val="24"/>
          <w:szCs w:val="24"/>
          <w:lang w:val="fr-CA"/>
        </w:rPr>
        <w:t xml:space="preserve">ommerce international est déterminant pour les secteurs canadiens de l’agriculture et de l’agroalimentaire, puisque </w:t>
      </w:r>
      <w:r w:rsidR="00A01570" w:rsidRPr="000D132E">
        <w:rPr>
          <w:rFonts w:ascii="Calibri" w:hAnsi="Calibri" w:cs="Calibri"/>
          <w:sz w:val="24"/>
          <w:szCs w:val="24"/>
          <w:lang w:val="fr-CA"/>
        </w:rPr>
        <w:t>58</w:t>
      </w:r>
      <w:r w:rsidR="007F7C6F">
        <w:rPr>
          <w:rFonts w:ascii="Calibri" w:hAnsi="Calibri" w:cs="Calibri"/>
          <w:sz w:val="24"/>
          <w:szCs w:val="24"/>
          <w:lang w:val="fr-CA"/>
        </w:rPr>
        <w:t> </w:t>
      </w:r>
      <w:r w:rsidR="00A01570" w:rsidRPr="000D132E">
        <w:rPr>
          <w:rFonts w:ascii="Calibri" w:hAnsi="Calibri" w:cs="Calibri"/>
          <w:sz w:val="24"/>
          <w:szCs w:val="24"/>
          <w:lang w:val="fr-CA"/>
        </w:rPr>
        <w:t xml:space="preserve">% </w:t>
      </w:r>
      <w:r w:rsidR="007F7C6F">
        <w:rPr>
          <w:rFonts w:ascii="Calibri" w:hAnsi="Calibri" w:cs="Calibri"/>
          <w:sz w:val="24"/>
          <w:szCs w:val="24"/>
          <w:lang w:val="fr-CA"/>
        </w:rPr>
        <w:t>de la valeur totale de cette industrie est générée par les exportations.</w:t>
      </w: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64" w:lineRule="exact"/>
        <w:rPr>
          <w:rFonts w:ascii="Symbol" w:hAnsi="Symbol" w:cs="Symbol"/>
          <w:sz w:val="24"/>
          <w:szCs w:val="24"/>
          <w:lang w:val="fr-CA"/>
        </w:rPr>
      </w:pPr>
    </w:p>
    <w:p w:rsidR="00A01570" w:rsidRPr="000D132E" w:rsidRDefault="007F7C6F" w:rsidP="00B03E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Symbol" w:hAnsi="Symbol" w:cs="Symbol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Nous exportons plus de la moitié des produits agroalimentaires que nous produisons.</w:t>
      </w:r>
      <w:r w:rsidR="00A01570" w:rsidRPr="000D132E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 xml:space="preserve">L’agriculture canadienne </w:t>
      </w:r>
      <w:r w:rsidR="00F413E1">
        <w:rPr>
          <w:rFonts w:ascii="Calibri" w:hAnsi="Calibri" w:cs="Calibri"/>
          <w:sz w:val="24"/>
          <w:szCs w:val="24"/>
          <w:lang w:val="fr-CA"/>
        </w:rPr>
        <w:t>a déjà franchi de grands pas au cours des dix dernières années : les exportations ont augmenté de</w:t>
      </w:r>
      <w:r w:rsidR="00A01570" w:rsidRPr="000D132E">
        <w:rPr>
          <w:rFonts w:ascii="Calibri" w:hAnsi="Calibri" w:cs="Calibri"/>
          <w:sz w:val="24"/>
          <w:szCs w:val="24"/>
          <w:lang w:val="fr-CA"/>
        </w:rPr>
        <w:t xml:space="preserve"> 103</w:t>
      </w:r>
      <w:r w:rsidR="00F413E1">
        <w:rPr>
          <w:rFonts w:ascii="Calibri" w:hAnsi="Calibri" w:cs="Calibri"/>
          <w:sz w:val="24"/>
          <w:szCs w:val="24"/>
          <w:lang w:val="fr-CA"/>
        </w:rPr>
        <w:t> </w:t>
      </w:r>
      <w:r w:rsidR="00A01570" w:rsidRPr="000D132E">
        <w:rPr>
          <w:rFonts w:ascii="Calibri" w:hAnsi="Calibri" w:cs="Calibri"/>
          <w:sz w:val="24"/>
          <w:szCs w:val="24"/>
          <w:lang w:val="fr-CA"/>
        </w:rPr>
        <w:t xml:space="preserve">%, </w:t>
      </w:r>
      <w:r w:rsidR="00F413E1">
        <w:rPr>
          <w:rFonts w:ascii="Calibri" w:hAnsi="Calibri" w:cs="Calibri"/>
          <w:sz w:val="24"/>
          <w:szCs w:val="24"/>
          <w:lang w:val="fr-CA"/>
        </w:rPr>
        <w:t>pas</w:t>
      </w:r>
      <w:r w:rsidR="00DE1B10">
        <w:rPr>
          <w:rFonts w:ascii="Calibri" w:hAnsi="Calibri" w:cs="Calibri"/>
          <w:sz w:val="24"/>
          <w:szCs w:val="24"/>
          <w:lang w:val="fr-CA"/>
        </w:rPr>
        <w:t xml:space="preserve">sant </w:t>
      </w:r>
      <w:r w:rsidR="00F413E1">
        <w:rPr>
          <w:rFonts w:ascii="Calibri" w:hAnsi="Calibri" w:cs="Calibri"/>
          <w:sz w:val="24"/>
          <w:szCs w:val="24"/>
          <w:lang w:val="fr-CA"/>
        </w:rPr>
        <w:t xml:space="preserve">de </w:t>
      </w:r>
      <w:r w:rsidR="00A01570" w:rsidRPr="000D132E">
        <w:rPr>
          <w:rFonts w:ascii="Calibri" w:hAnsi="Calibri" w:cs="Calibri"/>
          <w:sz w:val="24"/>
          <w:szCs w:val="24"/>
          <w:lang w:val="fr-CA"/>
        </w:rPr>
        <w:t xml:space="preserve">30 </w:t>
      </w:r>
      <w:r w:rsidR="00F413E1">
        <w:rPr>
          <w:rFonts w:ascii="Calibri" w:hAnsi="Calibri" w:cs="Calibri"/>
          <w:sz w:val="24"/>
          <w:szCs w:val="24"/>
          <w:lang w:val="fr-CA"/>
        </w:rPr>
        <w:t>milliards à plus de 61 milliards de dollars, ce qui a fait grimper les recettes agricoles de 61</w:t>
      </w:r>
      <w:r w:rsidR="003C7F0A">
        <w:rPr>
          <w:rFonts w:ascii="Calibri" w:hAnsi="Calibri" w:cs="Calibri"/>
          <w:sz w:val="24"/>
          <w:szCs w:val="24"/>
          <w:lang w:val="fr-CA"/>
        </w:rPr>
        <w:t> </w:t>
      </w:r>
      <w:r w:rsidR="00F413E1">
        <w:rPr>
          <w:rFonts w:ascii="Calibri" w:hAnsi="Calibri" w:cs="Calibri"/>
          <w:sz w:val="24"/>
          <w:szCs w:val="24"/>
          <w:lang w:val="fr-CA"/>
        </w:rPr>
        <w:t xml:space="preserve">% au cours de la même période, soit entre 2005 </w:t>
      </w:r>
      <w:r w:rsidR="00154267">
        <w:rPr>
          <w:rFonts w:ascii="Calibri" w:hAnsi="Calibri" w:cs="Calibri"/>
          <w:sz w:val="24"/>
          <w:szCs w:val="24"/>
          <w:lang w:val="fr-CA"/>
        </w:rPr>
        <w:t>et</w:t>
      </w:r>
      <w:r w:rsidR="00F413E1">
        <w:rPr>
          <w:rFonts w:ascii="Calibri" w:hAnsi="Calibri" w:cs="Calibri"/>
          <w:sz w:val="24"/>
          <w:szCs w:val="24"/>
          <w:lang w:val="fr-CA"/>
        </w:rPr>
        <w:t xml:space="preserve"> 2015.</w:t>
      </w: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74" w:lineRule="exact"/>
        <w:rPr>
          <w:rFonts w:ascii="Symbol" w:hAnsi="Symbol" w:cs="Symbol"/>
          <w:sz w:val="24"/>
          <w:szCs w:val="24"/>
          <w:lang w:val="fr-CA"/>
        </w:rPr>
      </w:pPr>
    </w:p>
    <w:p w:rsidR="00A01570" w:rsidRPr="000D132E" w:rsidRDefault="00F413E1" w:rsidP="00B03E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Symbol" w:hAnsi="Symbol" w:cs="Symbol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 xml:space="preserve">Une politique alimentaire efficace devrait comporter un volet commercial majeur et préciser les conditions qui permettront à l’agriculture canadienne de prospérer et de consolider la croissance de ses exportations </w:t>
      </w:r>
      <w:r w:rsidR="00DE1B10">
        <w:rPr>
          <w:rFonts w:ascii="Calibri" w:hAnsi="Calibri" w:cs="Calibri"/>
          <w:sz w:val="24"/>
          <w:szCs w:val="24"/>
          <w:lang w:val="fr-CA"/>
        </w:rPr>
        <w:t>qui devraient atteindre 75 milliards d’ici</w:t>
      </w:r>
      <w:r w:rsidR="004335D7">
        <w:rPr>
          <w:rFonts w:ascii="Calibri" w:hAnsi="Calibri" w:cs="Calibri"/>
          <w:sz w:val="24"/>
          <w:szCs w:val="24"/>
          <w:lang w:val="fr-CA"/>
        </w:rPr>
        <w:t xml:space="preserve"> 202</w:t>
      </w:r>
      <w:r w:rsidR="00DE1B10">
        <w:rPr>
          <w:rFonts w:ascii="Calibri" w:hAnsi="Calibri" w:cs="Calibri"/>
          <w:sz w:val="24"/>
          <w:szCs w:val="24"/>
          <w:lang w:val="fr-CA"/>
        </w:rPr>
        <w:t>5 conformément aux prévisio</w:t>
      </w:r>
      <w:r w:rsidR="004335D7">
        <w:rPr>
          <w:rFonts w:ascii="Calibri" w:hAnsi="Calibri" w:cs="Calibri"/>
          <w:sz w:val="24"/>
          <w:szCs w:val="24"/>
          <w:lang w:val="fr-CA"/>
        </w:rPr>
        <w:t>n</w:t>
      </w:r>
      <w:r w:rsidR="00DE1B10">
        <w:rPr>
          <w:rFonts w:ascii="Calibri" w:hAnsi="Calibri" w:cs="Calibri"/>
          <w:sz w:val="24"/>
          <w:szCs w:val="24"/>
          <w:lang w:val="fr-CA"/>
        </w:rPr>
        <w:t xml:space="preserve">s du Conseil consultatif en matière de croissance économique </w:t>
      </w:r>
      <w:r w:rsidR="001A21E0">
        <w:rPr>
          <w:rFonts w:ascii="Calibri" w:hAnsi="Calibri" w:cs="Calibri"/>
          <w:sz w:val="24"/>
          <w:szCs w:val="24"/>
          <w:lang w:val="fr-CA"/>
        </w:rPr>
        <w:t>du premier ministre</w:t>
      </w:r>
      <w:r w:rsidR="00A01570" w:rsidRPr="000D132E">
        <w:rPr>
          <w:rFonts w:ascii="Calibri" w:hAnsi="Calibri" w:cs="Calibri"/>
          <w:sz w:val="24"/>
          <w:szCs w:val="24"/>
          <w:lang w:val="fr-CA"/>
        </w:rPr>
        <w:t xml:space="preserve">. </w:t>
      </w:r>
      <w:r w:rsidR="003D4D54">
        <w:rPr>
          <w:rFonts w:ascii="Calibri" w:hAnsi="Calibri" w:cs="Calibri"/>
          <w:sz w:val="24"/>
          <w:szCs w:val="24"/>
          <w:lang w:val="fr-CA"/>
        </w:rPr>
        <w:t xml:space="preserve">Il s’agit d’un objectif ambitieux, mais l'industrie estime qu’il est tout à fait réalisable étant donné </w:t>
      </w:r>
      <w:r w:rsidR="00C05CA6">
        <w:rPr>
          <w:rFonts w:ascii="Calibri" w:hAnsi="Calibri" w:cs="Calibri"/>
          <w:sz w:val="24"/>
          <w:szCs w:val="24"/>
          <w:lang w:val="fr-CA"/>
        </w:rPr>
        <w:t>l’</w:t>
      </w:r>
      <w:r w:rsidR="003D4D54">
        <w:rPr>
          <w:rFonts w:ascii="Calibri" w:hAnsi="Calibri" w:cs="Calibri"/>
          <w:sz w:val="24"/>
          <w:szCs w:val="24"/>
          <w:lang w:val="fr-CA"/>
        </w:rPr>
        <w:t>énorme potentiel de croissance</w:t>
      </w:r>
      <w:r w:rsidR="00C05CA6">
        <w:rPr>
          <w:rFonts w:ascii="Calibri" w:hAnsi="Calibri" w:cs="Calibri"/>
          <w:sz w:val="24"/>
          <w:szCs w:val="24"/>
          <w:lang w:val="fr-CA"/>
        </w:rPr>
        <w:t xml:space="preserve"> de cette dernière</w:t>
      </w:r>
      <w:r w:rsidR="003D4D54">
        <w:rPr>
          <w:rFonts w:ascii="Calibri" w:hAnsi="Calibri" w:cs="Calibri"/>
          <w:sz w:val="24"/>
          <w:szCs w:val="24"/>
          <w:lang w:val="fr-CA"/>
        </w:rPr>
        <w:t>.</w:t>
      </w: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75" w:lineRule="exact"/>
        <w:rPr>
          <w:rFonts w:ascii="Symbol" w:hAnsi="Symbol" w:cs="Symbol"/>
          <w:sz w:val="24"/>
          <w:szCs w:val="24"/>
          <w:lang w:val="fr-CA"/>
        </w:rPr>
      </w:pPr>
    </w:p>
    <w:p w:rsidR="00A01570" w:rsidRPr="000D132E" w:rsidRDefault="003D4D54" w:rsidP="00B03E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Symbol" w:hAnsi="Symbol" w:cs="Symbol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 xml:space="preserve">La </w:t>
      </w:r>
      <w:r w:rsidR="00C05CA6">
        <w:rPr>
          <w:rFonts w:ascii="Calibri" w:hAnsi="Calibri" w:cs="Calibri"/>
          <w:sz w:val="24"/>
          <w:szCs w:val="24"/>
          <w:lang w:val="fr-CA"/>
        </w:rPr>
        <w:t xml:space="preserve">Politique </w:t>
      </w:r>
      <w:r>
        <w:rPr>
          <w:rFonts w:ascii="Calibri" w:hAnsi="Calibri" w:cs="Calibri"/>
          <w:sz w:val="24"/>
          <w:szCs w:val="24"/>
          <w:lang w:val="fr-CA"/>
        </w:rPr>
        <w:t>devrait aussi mettre l’accent sur la négociation et la mise en œuvre d’accords de libre-échange avec les principaux marchés et ceux que nos concurrents courtisent aussi afin d’éliminer en outre les barrières tarifaires et non tarifaires et permettre d’accroître la production et les exportations.</w:t>
      </w: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181" w:lineRule="exact"/>
        <w:rPr>
          <w:rFonts w:ascii="Symbol" w:hAnsi="Symbol" w:cs="Symbol"/>
          <w:sz w:val="24"/>
          <w:szCs w:val="24"/>
          <w:lang w:val="fr-CA"/>
        </w:rPr>
      </w:pPr>
    </w:p>
    <w:p w:rsidR="00A01570" w:rsidRPr="000D132E" w:rsidRDefault="00C05CA6" w:rsidP="00B03E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Nous souhaitons soumettre les points suivants au Comité :</w:t>
      </w: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79" w:lineRule="exact"/>
        <w:rPr>
          <w:rFonts w:ascii="Symbol" w:hAnsi="Symbol" w:cs="Symbol"/>
          <w:sz w:val="24"/>
          <w:szCs w:val="24"/>
          <w:lang w:val="fr-CA"/>
        </w:rPr>
      </w:pPr>
    </w:p>
    <w:p w:rsidR="00A01570" w:rsidRPr="000D132E" w:rsidRDefault="00C05CA6">
      <w:pPr>
        <w:widowControl w:val="0"/>
        <w:numPr>
          <w:ilvl w:val="1"/>
          <w:numId w:val="2"/>
        </w:numPr>
        <w:tabs>
          <w:tab w:val="clear" w:pos="1440"/>
          <w:tab w:val="num" w:pos="1182"/>
        </w:tabs>
        <w:overflowPunct w:val="0"/>
        <w:autoSpaceDE w:val="0"/>
        <w:autoSpaceDN w:val="0"/>
        <w:adjustRightInd w:val="0"/>
        <w:spacing w:after="0" w:line="248" w:lineRule="auto"/>
        <w:ind w:left="1180" w:right="120" w:hanging="359"/>
        <w:jc w:val="both"/>
        <w:rPr>
          <w:rFonts w:ascii="Calibri Light" w:hAnsi="Calibri Light" w:cs="Calibri Light"/>
          <w:sz w:val="21"/>
          <w:szCs w:val="21"/>
          <w:lang w:val="fr-CA"/>
        </w:rPr>
      </w:pPr>
      <w:r>
        <w:rPr>
          <w:rFonts w:ascii="Calibri" w:hAnsi="Calibri" w:cs="Calibri"/>
          <w:sz w:val="23"/>
          <w:szCs w:val="23"/>
          <w:lang w:val="fr-CA"/>
        </w:rPr>
        <w:t xml:space="preserve">La Politique devrait prévoir l’attribution de ressources adéquates aux ministères et aux agences qui participent aux </w:t>
      </w:r>
      <w:r w:rsidR="00A01570" w:rsidRPr="000D132E">
        <w:rPr>
          <w:rFonts w:ascii="Calibri" w:hAnsi="Calibri" w:cs="Calibri"/>
          <w:b/>
          <w:bCs/>
          <w:sz w:val="23"/>
          <w:szCs w:val="23"/>
          <w:lang w:val="fr-CA"/>
        </w:rPr>
        <w:t>n</w:t>
      </w:r>
      <w:r>
        <w:rPr>
          <w:rFonts w:ascii="Calibri" w:hAnsi="Calibri" w:cs="Calibri"/>
          <w:b/>
          <w:bCs/>
          <w:sz w:val="23"/>
          <w:szCs w:val="23"/>
          <w:lang w:val="fr-CA"/>
        </w:rPr>
        <w:t>égociations d’accords de libre-échange</w:t>
      </w:r>
      <w:r w:rsidR="00A01570" w:rsidRPr="000D132E">
        <w:rPr>
          <w:rFonts w:ascii="Calibri" w:hAnsi="Calibri" w:cs="Calibri"/>
          <w:sz w:val="23"/>
          <w:szCs w:val="23"/>
          <w:lang w:val="fr-CA"/>
        </w:rPr>
        <w:t xml:space="preserve">, </w:t>
      </w:r>
      <w:r>
        <w:rPr>
          <w:rFonts w:ascii="Calibri" w:hAnsi="Calibri" w:cs="Calibri"/>
          <w:sz w:val="23"/>
          <w:szCs w:val="23"/>
          <w:lang w:val="fr-CA"/>
        </w:rPr>
        <w:t xml:space="preserve">en vue de réaliser les objectifs suivants : </w:t>
      </w: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" w:lineRule="exact"/>
        <w:rPr>
          <w:rFonts w:ascii="Calibri Light" w:hAnsi="Calibri Light" w:cs="Calibri Light"/>
          <w:sz w:val="21"/>
          <w:szCs w:val="21"/>
          <w:lang w:val="fr-CA"/>
        </w:rPr>
      </w:pPr>
    </w:p>
    <w:p w:rsidR="00A01570" w:rsidRPr="000D132E" w:rsidRDefault="00FE0CD3">
      <w:pPr>
        <w:widowControl w:val="0"/>
        <w:numPr>
          <w:ilvl w:val="2"/>
          <w:numId w:val="2"/>
        </w:numPr>
        <w:tabs>
          <w:tab w:val="clear" w:pos="2160"/>
          <w:tab w:val="num" w:pos="2020"/>
        </w:tabs>
        <w:overflowPunct w:val="0"/>
        <w:autoSpaceDE w:val="0"/>
        <w:autoSpaceDN w:val="0"/>
        <w:adjustRightInd w:val="0"/>
        <w:spacing w:after="0" w:line="241" w:lineRule="auto"/>
        <w:ind w:left="2020" w:right="120" w:hanging="359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m</w:t>
      </w:r>
      <w:r w:rsidR="00C05CA6">
        <w:rPr>
          <w:rFonts w:ascii="Calibri" w:hAnsi="Calibri" w:cs="Calibri"/>
          <w:sz w:val="24"/>
          <w:szCs w:val="24"/>
          <w:lang w:val="fr-CA"/>
        </w:rPr>
        <w:t xml:space="preserve">aintenir les conditions équitables de libre-échange </w:t>
      </w:r>
      <w:r>
        <w:rPr>
          <w:rFonts w:ascii="Calibri" w:hAnsi="Calibri" w:cs="Calibri"/>
          <w:sz w:val="24"/>
          <w:szCs w:val="24"/>
          <w:lang w:val="fr-CA"/>
        </w:rPr>
        <w:t>dont nous bénéficions dans le cadre de l’</w:t>
      </w:r>
      <w:r w:rsidR="00A01570" w:rsidRPr="000D132E">
        <w:rPr>
          <w:rFonts w:ascii="Calibri" w:hAnsi="Calibri" w:cs="Calibri"/>
          <w:b/>
          <w:bCs/>
          <w:sz w:val="24"/>
          <w:szCs w:val="24"/>
          <w:lang w:val="fr-CA"/>
        </w:rPr>
        <w:t>A</w:t>
      </w:r>
      <w:r>
        <w:rPr>
          <w:rFonts w:ascii="Calibri" w:hAnsi="Calibri" w:cs="Calibri"/>
          <w:b/>
          <w:bCs/>
          <w:sz w:val="24"/>
          <w:szCs w:val="24"/>
          <w:lang w:val="fr-CA"/>
        </w:rPr>
        <w:t>LENA</w:t>
      </w:r>
      <w:r w:rsidR="00A01570" w:rsidRPr="000D132E">
        <w:rPr>
          <w:rFonts w:ascii="Calibri" w:hAnsi="Calibri" w:cs="Calibri"/>
          <w:sz w:val="24"/>
          <w:szCs w:val="24"/>
          <w:lang w:val="fr-CA"/>
        </w:rPr>
        <w:t xml:space="preserve">, </w:t>
      </w:r>
      <w:r>
        <w:rPr>
          <w:rFonts w:ascii="Calibri" w:hAnsi="Calibri" w:cs="Calibri"/>
          <w:sz w:val="24"/>
          <w:szCs w:val="24"/>
          <w:lang w:val="fr-CA"/>
        </w:rPr>
        <w:t>en les améliorant si possible;</w:t>
      </w:r>
    </w:p>
    <w:p w:rsidR="00A01570" w:rsidRPr="000D132E" w:rsidRDefault="00FE0CD3">
      <w:pPr>
        <w:widowControl w:val="0"/>
        <w:numPr>
          <w:ilvl w:val="2"/>
          <w:numId w:val="2"/>
        </w:numPr>
        <w:tabs>
          <w:tab w:val="clear" w:pos="2160"/>
          <w:tab w:val="num" w:pos="2020"/>
        </w:tabs>
        <w:overflowPunct w:val="0"/>
        <w:autoSpaceDE w:val="0"/>
        <w:autoSpaceDN w:val="0"/>
        <w:adjustRightInd w:val="0"/>
        <w:spacing w:after="0" w:line="252" w:lineRule="auto"/>
        <w:ind w:left="2020" w:right="120" w:hanging="359"/>
        <w:jc w:val="both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mettre en œuvre des accords de libre-échange avec des pays de l’Asie-Pacifique</w:t>
      </w:r>
      <w:r w:rsidR="00675B3D">
        <w:rPr>
          <w:rFonts w:ascii="Calibri" w:hAnsi="Calibri" w:cs="Calibri"/>
          <w:sz w:val="24"/>
          <w:szCs w:val="24"/>
          <w:lang w:val="fr-CA"/>
        </w:rPr>
        <w:t>,</w:t>
      </w:r>
      <w:r>
        <w:rPr>
          <w:rFonts w:ascii="Calibri" w:hAnsi="Calibri" w:cs="Calibri"/>
          <w:sz w:val="24"/>
          <w:szCs w:val="24"/>
          <w:lang w:val="fr-CA"/>
        </w:rPr>
        <w:t xml:space="preserve"> comme dans le cadre du Partenariat transpacifique (</w:t>
      </w:r>
      <w:r w:rsidR="00A01570" w:rsidRPr="000D132E">
        <w:rPr>
          <w:rFonts w:ascii="Calibri" w:hAnsi="Calibri" w:cs="Calibri"/>
          <w:b/>
          <w:bCs/>
          <w:sz w:val="24"/>
          <w:szCs w:val="24"/>
          <w:lang w:val="fr-CA"/>
        </w:rPr>
        <w:t>P</w:t>
      </w:r>
      <w:r>
        <w:rPr>
          <w:rFonts w:ascii="Calibri" w:hAnsi="Calibri" w:cs="Calibri"/>
          <w:b/>
          <w:bCs/>
          <w:sz w:val="24"/>
          <w:szCs w:val="24"/>
          <w:lang w:val="fr-CA"/>
        </w:rPr>
        <w:t>T</w:t>
      </w:r>
      <w:r w:rsidR="00A01570" w:rsidRPr="000D132E">
        <w:rPr>
          <w:rFonts w:ascii="Calibri" w:hAnsi="Calibri" w:cs="Calibri"/>
          <w:b/>
          <w:bCs/>
          <w:sz w:val="24"/>
          <w:szCs w:val="24"/>
          <w:lang w:val="fr-CA"/>
        </w:rPr>
        <w:t>P11</w:t>
      </w:r>
      <w:r>
        <w:rPr>
          <w:rFonts w:ascii="Calibri" w:hAnsi="Calibri" w:cs="Calibri"/>
          <w:b/>
          <w:bCs/>
          <w:sz w:val="24"/>
          <w:szCs w:val="24"/>
          <w:lang w:val="fr-CA"/>
        </w:rPr>
        <w:t xml:space="preserve">), </w:t>
      </w:r>
      <w:r w:rsidRPr="00FE0CD3">
        <w:rPr>
          <w:rFonts w:ascii="Calibri" w:hAnsi="Calibri" w:cs="Calibri"/>
          <w:bCs/>
          <w:sz w:val="24"/>
          <w:szCs w:val="24"/>
          <w:lang w:val="fr-CA"/>
        </w:rPr>
        <w:t>ce qui demeure</w:t>
      </w:r>
      <w:r w:rsidR="003C7F0A">
        <w:rPr>
          <w:rFonts w:ascii="Calibri" w:hAnsi="Calibri" w:cs="Calibri"/>
          <w:bCs/>
          <w:sz w:val="24"/>
          <w:szCs w:val="24"/>
          <w:lang w:val="fr-CA"/>
        </w:rPr>
        <w:t xml:space="preserve">, </w:t>
      </w:r>
      <w:r>
        <w:rPr>
          <w:rFonts w:ascii="Calibri" w:hAnsi="Calibri" w:cs="Calibri"/>
          <w:bCs/>
          <w:sz w:val="24"/>
          <w:szCs w:val="24"/>
          <w:lang w:val="fr-CA"/>
        </w:rPr>
        <w:t>pour le Canada</w:t>
      </w:r>
      <w:r w:rsidR="003C7F0A">
        <w:rPr>
          <w:rFonts w:ascii="Calibri" w:hAnsi="Calibri" w:cs="Calibri"/>
          <w:bCs/>
          <w:sz w:val="24"/>
          <w:szCs w:val="24"/>
          <w:lang w:val="fr-CA"/>
        </w:rPr>
        <w:t xml:space="preserve">, </w:t>
      </w:r>
      <w:r w:rsidRPr="00FE0CD3">
        <w:rPr>
          <w:rFonts w:ascii="Calibri" w:hAnsi="Calibri" w:cs="Calibri"/>
          <w:bCs/>
          <w:sz w:val="24"/>
          <w:szCs w:val="24"/>
          <w:lang w:val="fr-CA"/>
        </w:rPr>
        <w:t xml:space="preserve">la meilleure </w:t>
      </w:r>
      <w:r>
        <w:rPr>
          <w:rFonts w:ascii="Calibri" w:hAnsi="Calibri" w:cs="Calibri"/>
          <w:bCs/>
          <w:sz w:val="24"/>
          <w:szCs w:val="24"/>
          <w:lang w:val="fr-CA"/>
        </w:rPr>
        <w:t xml:space="preserve">option de </w:t>
      </w:r>
      <w:r w:rsidR="001D3C34">
        <w:rPr>
          <w:rFonts w:ascii="Calibri" w:hAnsi="Calibri" w:cs="Calibri"/>
          <w:bCs/>
          <w:sz w:val="24"/>
          <w:szCs w:val="24"/>
          <w:lang w:val="fr-CA"/>
        </w:rPr>
        <w:t>s’assurer</w:t>
      </w:r>
      <w:r>
        <w:rPr>
          <w:rFonts w:ascii="Calibri" w:hAnsi="Calibri" w:cs="Calibri"/>
          <w:bCs/>
          <w:sz w:val="24"/>
          <w:szCs w:val="24"/>
          <w:lang w:val="fr-CA"/>
        </w:rPr>
        <w:t xml:space="preserve"> d’un accès favorable aux marchés du Japon et de nombreux pays du Pacifique qui connaissent une croissance rapide.</w:t>
      </w: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33" w:lineRule="exact"/>
        <w:rPr>
          <w:rFonts w:ascii="Calibri" w:hAnsi="Calibri" w:cs="Calibri"/>
          <w:sz w:val="24"/>
          <w:szCs w:val="24"/>
          <w:lang w:val="fr-CA"/>
        </w:rPr>
      </w:pPr>
    </w:p>
    <w:p w:rsidR="00A01570" w:rsidRPr="000D132E" w:rsidRDefault="00675B3D">
      <w:pPr>
        <w:widowControl w:val="0"/>
        <w:numPr>
          <w:ilvl w:val="1"/>
          <w:numId w:val="2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right="120" w:hanging="359"/>
        <w:rPr>
          <w:rFonts w:ascii="Calibri Light" w:hAnsi="Calibri Light" w:cs="Calibri Light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 xml:space="preserve">La Politique </w:t>
      </w:r>
      <w:bookmarkStart w:id="3" w:name="_Hlk494968831"/>
      <w:r>
        <w:rPr>
          <w:rFonts w:ascii="Calibri" w:hAnsi="Calibri" w:cs="Calibri"/>
          <w:sz w:val="24"/>
          <w:szCs w:val="24"/>
          <w:lang w:val="fr-CA"/>
        </w:rPr>
        <w:t>devrait permet</w:t>
      </w:r>
      <w:r w:rsidR="001D3C34">
        <w:rPr>
          <w:rFonts w:ascii="Calibri" w:hAnsi="Calibri" w:cs="Calibri"/>
          <w:sz w:val="24"/>
          <w:szCs w:val="24"/>
          <w:lang w:val="fr-CA"/>
        </w:rPr>
        <w:t>t</w:t>
      </w:r>
      <w:r>
        <w:rPr>
          <w:rFonts w:ascii="Calibri" w:hAnsi="Calibri" w:cs="Calibri"/>
          <w:sz w:val="24"/>
          <w:szCs w:val="24"/>
          <w:lang w:val="fr-CA"/>
        </w:rPr>
        <w:t>re que des ressources adéquates soient attribuées afin d’assurer la réalisation de</w:t>
      </w:r>
      <w:r w:rsidR="00154267">
        <w:rPr>
          <w:rFonts w:ascii="Calibri" w:hAnsi="Calibri" w:cs="Calibri"/>
          <w:sz w:val="24"/>
          <w:szCs w:val="24"/>
          <w:lang w:val="fr-CA"/>
        </w:rPr>
        <w:t>s</w:t>
      </w:r>
      <w:r w:rsidR="00952401">
        <w:rPr>
          <w:rFonts w:ascii="Calibri" w:hAnsi="Calibri" w:cs="Calibri"/>
          <w:sz w:val="24"/>
          <w:szCs w:val="24"/>
          <w:lang w:val="fr-CA"/>
        </w:rPr>
        <w:t xml:space="preserve"> tâches </w:t>
      </w:r>
      <w:r>
        <w:rPr>
          <w:rFonts w:ascii="Calibri" w:hAnsi="Calibri" w:cs="Calibri"/>
          <w:sz w:val="24"/>
          <w:szCs w:val="24"/>
          <w:lang w:val="fr-CA"/>
        </w:rPr>
        <w:t xml:space="preserve">liées à </w:t>
      </w:r>
      <w:bookmarkEnd w:id="3"/>
      <w:r>
        <w:rPr>
          <w:rFonts w:ascii="Calibri" w:hAnsi="Calibri" w:cs="Calibri"/>
          <w:sz w:val="24"/>
          <w:szCs w:val="24"/>
          <w:lang w:val="fr-CA"/>
        </w:rPr>
        <w:t xml:space="preserve">la </w:t>
      </w:r>
      <w:r w:rsidR="00A01570" w:rsidRPr="000D132E">
        <w:rPr>
          <w:rFonts w:ascii="Calibri" w:hAnsi="Calibri" w:cs="Calibri"/>
          <w:b/>
          <w:bCs/>
          <w:sz w:val="24"/>
          <w:szCs w:val="24"/>
          <w:lang w:val="fr-CA"/>
        </w:rPr>
        <w:t>m</w:t>
      </w:r>
      <w:r>
        <w:rPr>
          <w:rFonts w:ascii="Calibri" w:hAnsi="Calibri" w:cs="Calibri"/>
          <w:b/>
          <w:bCs/>
          <w:sz w:val="24"/>
          <w:szCs w:val="24"/>
          <w:lang w:val="fr-CA"/>
        </w:rPr>
        <w:t xml:space="preserve">ise en </w:t>
      </w:r>
      <w:r w:rsidR="001D3C34">
        <w:rPr>
          <w:rFonts w:ascii="Calibri" w:hAnsi="Calibri" w:cs="Calibri"/>
          <w:b/>
          <w:bCs/>
          <w:sz w:val="24"/>
          <w:szCs w:val="24"/>
          <w:lang w:val="fr-CA"/>
        </w:rPr>
        <w:t xml:space="preserve">œuvre </w:t>
      </w:r>
      <w:r>
        <w:rPr>
          <w:rFonts w:ascii="Calibri" w:hAnsi="Calibri" w:cs="Calibri"/>
          <w:b/>
          <w:bCs/>
          <w:sz w:val="24"/>
          <w:szCs w:val="24"/>
          <w:lang w:val="fr-CA"/>
        </w:rPr>
        <w:t>des accords de libre-échange</w:t>
      </w:r>
      <w:r w:rsidR="001D3C34">
        <w:rPr>
          <w:rFonts w:ascii="Calibri" w:hAnsi="Calibri" w:cs="Calibri"/>
          <w:b/>
          <w:bCs/>
          <w:sz w:val="24"/>
          <w:szCs w:val="24"/>
          <w:lang w:val="fr-CA"/>
        </w:rPr>
        <w:t xml:space="preserve">, </w:t>
      </w:r>
      <w:r w:rsidR="001D3C34" w:rsidRPr="001D3C34">
        <w:rPr>
          <w:rFonts w:ascii="Calibri" w:hAnsi="Calibri" w:cs="Calibri"/>
          <w:bCs/>
          <w:sz w:val="24"/>
          <w:szCs w:val="24"/>
          <w:lang w:val="fr-CA"/>
        </w:rPr>
        <w:t xml:space="preserve">et plus </w:t>
      </w:r>
      <w:r w:rsidR="0032795F" w:rsidRPr="001D3C34">
        <w:rPr>
          <w:rFonts w:ascii="Calibri" w:hAnsi="Calibri" w:cs="Calibri"/>
          <w:bCs/>
          <w:sz w:val="24"/>
          <w:szCs w:val="24"/>
          <w:lang w:val="fr-CA"/>
        </w:rPr>
        <w:t>précisément</w:t>
      </w:r>
      <w:r w:rsidR="001D3C34" w:rsidRPr="001D3C34">
        <w:rPr>
          <w:rFonts w:ascii="Calibri" w:hAnsi="Calibri" w:cs="Calibri"/>
          <w:bCs/>
          <w:sz w:val="24"/>
          <w:szCs w:val="24"/>
          <w:lang w:val="fr-CA"/>
        </w:rPr>
        <w:t xml:space="preserve"> dans le cas suivant</w:t>
      </w:r>
      <w:r w:rsidR="001D3C34">
        <w:rPr>
          <w:rFonts w:ascii="Calibri" w:hAnsi="Calibri" w:cs="Calibri"/>
          <w:b/>
          <w:bCs/>
          <w:sz w:val="24"/>
          <w:szCs w:val="24"/>
          <w:lang w:val="fr-CA"/>
        </w:rPr>
        <w:t> :</w:t>
      </w: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" w:lineRule="exact"/>
        <w:rPr>
          <w:rFonts w:ascii="Calibri Light" w:hAnsi="Calibri Light" w:cs="Calibri Light"/>
          <w:lang w:val="fr-CA"/>
        </w:rPr>
      </w:pPr>
    </w:p>
    <w:p w:rsidR="00A01570" w:rsidRPr="000D132E" w:rsidRDefault="001D3C34">
      <w:pPr>
        <w:widowControl w:val="0"/>
        <w:numPr>
          <w:ilvl w:val="2"/>
          <w:numId w:val="2"/>
        </w:numPr>
        <w:tabs>
          <w:tab w:val="clear" w:pos="2160"/>
          <w:tab w:val="num" w:pos="2020"/>
        </w:tabs>
        <w:overflowPunct w:val="0"/>
        <w:autoSpaceDE w:val="0"/>
        <w:autoSpaceDN w:val="0"/>
        <w:adjustRightInd w:val="0"/>
        <w:spacing w:after="0" w:line="247" w:lineRule="auto"/>
        <w:ind w:left="2020" w:right="120" w:hanging="359"/>
        <w:jc w:val="both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Malgré le potentiel énorme de réaliser de fortes percées grâce à l’Accord économique et commercial global (AECG) en Union européenne</w:t>
      </w:r>
      <w:r w:rsidR="00A01570" w:rsidRPr="000D132E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>qui a été mis en place il y a une semaine</w:t>
      </w:r>
      <w:r w:rsidR="00A01570" w:rsidRPr="000D132E">
        <w:rPr>
          <w:rFonts w:ascii="Calibri" w:hAnsi="Calibri" w:cs="Calibri"/>
          <w:sz w:val="24"/>
          <w:szCs w:val="24"/>
          <w:lang w:val="fr-CA"/>
        </w:rPr>
        <w:t xml:space="preserve">, </w:t>
      </w:r>
      <w:r>
        <w:rPr>
          <w:rFonts w:ascii="Calibri" w:hAnsi="Calibri" w:cs="Calibri"/>
          <w:sz w:val="24"/>
          <w:szCs w:val="24"/>
          <w:lang w:val="fr-CA"/>
        </w:rPr>
        <w:t>les résultats ne seront pas immédiats pour certains secteur</w:t>
      </w:r>
      <w:r w:rsidR="00952401">
        <w:rPr>
          <w:rFonts w:ascii="Calibri" w:hAnsi="Calibri" w:cs="Calibri"/>
          <w:sz w:val="24"/>
          <w:szCs w:val="24"/>
          <w:lang w:val="fr-CA"/>
        </w:rPr>
        <w:t>s</w:t>
      </w:r>
      <w:r>
        <w:rPr>
          <w:rFonts w:ascii="Calibri" w:hAnsi="Calibri" w:cs="Calibri"/>
          <w:sz w:val="24"/>
          <w:szCs w:val="24"/>
          <w:lang w:val="fr-CA"/>
        </w:rPr>
        <w:t xml:space="preserve"> agroalimentaires en raison d’enjeux techniques qui ne sont pas encore réglés</w:t>
      </w:r>
      <w:r w:rsidR="00A01570" w:rsidRPr="000D132E">
        <w:rPr>
          <w:rFonts w:ascii="Calibri" w:hAnsi="Calibri" w:cs="Calibri"/>
          <w:sz w:val="24"/>
          <w:szCs w:val="24"/>
          <w:lang w:val="fr-CA"/>
        </w:rPr>
        <w:t>.</w:t>
      </w: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60" w:lineRule="exact"/>
        <w:rPr>
          <w:rFonts w:ascii="Calibri" w:hAnsi="Calibri" w:cs="Calibri"/>
          <w:sz w:val="24"/>
          <w:szCs w:val="24"/>
          <w:lang w:val="fr-CA"/>
        </w:rPr>
      </w:pPr>
    </w:p>
    <w:p w:rsidR="00A01570" w:rsidRPr="000D132E" w:rsidRDefault="001D3C34" w:rsidP="001D3C34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right="120"/>
        <w:jc w:val="both"/>
        <w:rPr>
          <w:rFonts w:ascii="Calibri Light" w:hAnsi="Calibri Light" w:cs="Calibri Light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lastRenderedPageBreak/>
        <w:t xml:space="preserve">La Politique </w:t>
      </w:r>
      <w:r w:rsidRPr="001D3C34">
        <w:rPr>
          <w:rFonts w:ascii="Calibri" w:hAnsi="Calibri" w:cs="Calibri"/>
          <w:sz w:val="24"/>
          <w:szCs w:val="24"/>
          <w:lang w:val="fr-CA"/>
        </w:rPr>
        <w:t>devrait permettre que des ressources adéquates soient attribuées afin d’assurer la réalisation de</w:t>
      </w:r>
      <w:r w:rsidR="00154267">
        <w:rPr>
          <w:rFonts w:ascii="Calibri" w:hAnsi="Calibri" w:cs="Calibri"/>
          <w:sz w:val="24"/>
          <w:szCs w:val="24"/>
          <w:lang w:val="fr-CA"/>
        </w:rPr>
        <w:t>s</w:t>
      </w:r>
      <w:r w:rsidR="00952401">
        <w:rPr>
          <w:rFonts w:ascii="Calibri" w:hAnsi="Calibri" w:cs="Calibri"/>
          <w:sz w:val="24"/>
          <w:szCs w:val="24"/>
          <w:lang w:val="fr-CA"/>
        </w:rPr>
        <w:t xml:space="preserve"> tâches </w:t>
      </w:r>
      <w:r w:rsidRPr="001D3C34">
        <w:rPr>
          <w:rFonts w:ascii="Calibri" w:hAnsi="Calibri" w:cs="Calibri"/>
          <w:sz w:val="24"/>
          <w:szCs w:val="24"/>
          <w:lang w:val="fr-CA"/>
        </w:rPr>
        <w:t xml:space="preserve">liées à </w:t>
      </w:r>
      <w:r w:rsidR="00952401">
        <w:rPr>
          <w:rFonts w:ascii="Calibri" w:hAnsi="Calibri" w:cs="Calibri"/>
          <w:sz w:val="24"/>
          <w:szCs w:val="24"/>
          <w:lang w:val="fr-CA"/>
        </w:rPr>
        <w:t>la résolution de questions concernant l’accès au</w:t>
      </w:r>
      <w:r w:rsidR="003A2947">
        <w:rPr>
          <w:rFonts w:ascii="Calibri" w:hAnsi="Calibri" w:cs="Calibri"/>
          <w:sz w:val="24"/>
          <w:szCs w:val="24"/>
          <w:lang w:val="fr-CA"/>
        </w:rPr>
        <w:t>x</w:t>
      </w:r>
      <w:r w:rsidR="00952401">
        <w:rPr>
          <w:rFonts w:ascii="Calibri" w:hAnsi="Calibri" w:cs="Calibri"/>
          <w:sz w:val="24"/>
          <w:szCs w:val="24"/>
          <w:lang w:val="fr-CA"/>
        </w:rPr>
        <w:t xml:space="preserve"> marché</w:t>
      </w:r>
      <w:r w:rsidR="003A2947">
        <w:rPr>
          <w:rFonts w:ascii="Calibri" w:hAnsi="Calibri" w:cs="Calibri"/>
          <w:sz w:val="24"/>
          <w:szCs w:val="24"/>
          <w:lang w:val="fr-CA"/>
        </w:rPr>
        <w:t>s</w:t>
      </w:r>
      <w:r w:rsidR="00952401">
        <w:rPr>
          <w:rFonts w:ascii="Calibri" w:hAnsi="Calibri" w:cs="Calibri"/>
          <w:sz w:val="24"/>
          <w:szCs w:val="24"/>
          <w:lang w:val="fr-CA"/>
        </w:rPr>
        <w:t xml:space="preserve">, </w:t>
      </w:r>
      <w:r w:rsidR="003C7F0A">
        <w:rPr>
          <w:rFonts w:ascii="Calibri" w:hAnsi="Calibri" w:cs="Calibri"/>
          <w:sz w:val="24"/>
          <w:szCs w:val="24"/>
          <w:lang w:val="fr-CA"/>
        </w:rPr>
        <w:t xml:space="preserve">afin de </w:t>
      </w:r>
      <w:r w:rsidR="00952401">
        <w:rPr>
          <w:rFonts w:ascii="Calibri" w:hAnsi="Calibri" w:cs="Calibri"/>
          <w:sz w:val="24"/>
          <w:szCs w:val="24"/>
          <w:lang w:val="fr-CA"/>
        </w:rPr>
        <w:t xml:space="preserve">continuer à minimiser les barrières techniques au commerce et </w:t>
      </w:r>
      <w:r w:rsidR="003C7F0A">
        <w:rPr>
          <w:rFonts w:ascii="Calibri" w:hAnsi="Calibri" w:cs="Calibri"/>
          <w:sz w:val="24"/>
          <w:szCs w:val="24"/>
          <w:lang w:val="fr-CA"/>
        </w:rPr>
        <w:t>d’</w:t>
      </w:r>
      <w:r w:rsidR="00952401">
        <w:rPr>
          <w:rFonts w:ascii="Calibri" w:hAnsi="Calibri" w:cs="Calibri"/>
          <w:sz w:val="24"/>
          <w:szCs w:val="24"/>
          <w:lang w:val="fr-CA"/>
        </w:rPr>
        <w:t>assurer un accès réel aux marchés pour les exportateurs.</w:t>
      </w: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3" w:lineRule="exact"/>
        <w:rPr>
          <w:rFonts w:ascii="Calibri Light" w:hAnsi="Calibri Light" w:cs="Calibri Light"/>
          <w:lang w:val="fr-CA"/>
        </w:rPr>
      </w:pPr>
    </w:p>
    <w:p w:rsidR="00A01570" w:rsidRDefault="00952401">
      <w:pPr>
        <w:widowControl w:val="0"/>
        <w:numPr>
          <w:ilvl w:val="2"/>
          <w:numId w:val="2"/>
        </w:numPr>
        <w:tabs>
          <w:tab w:val="clear" w:pos="2160"/>
          <w:tab w:val="num" w:pos="2020"/>
        </w:tabs>
        <w:overflowPunct w:val="0"/>
        <w:autoSpaceDE w:val="0"/>
        <w:autoSpaceDN w:val="0"/>
        <w:adjustRightInd w:val="0"/>
        <w:spacing w:after="0" w:line="245" w:lineRule="auto"/>
        <w:ind w:left="2020" w:right="120" w:hanging="359"/>
        <w:jc w:val="both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 xml:space="preserve">La multiplication de barrières non tarifaires dans le secteur de l’agriculture au cours des dernières décennies a considérablement augmenté le nombre d’obstacles </w:t>
      </w:r>
      <w:r w:rsidR="003A2947">
        <w:rPr>
          <w:rFonts w:ascii="Calibri" w:hAnsi="Calibri" w:cs="Calibri"/>
          <w:sz w:val="24"/>
          <w:szCs w:val="24"/>
          <w:lang w:val="fr-CA"/>
        </w:rPr>
        <w:t>à l’accès aux marchés pour nos exportateurs qui tentent de diversifier leur profil d’exportation.</w:t>
      </w:r>
      <w:r w:rsidR="00A01570" w:rsidRPr="000D132E">
        <w:rPr>
          <w:rFonts w:ascii="Calibri" w:hAnsi="Calibri" w:cs="Calibri"/>
          <w:sz w:val="24"/>
          <w:szCs w:val="24"/>
          <w:lang w:val="fr-CA"/>
        </w:rPr>
        <w:t xml:space="preserve"> </w:t>
      </w:r>
      <w:r w:rsidR="003A2947">
        <w:rPr>
          <w:rFonts w:ascii="Calibri" w:hAnsi="Calibri" w:cs="Calibri"/>
          <w:sz w:val="24"/>
          <w:szCs w:val="24"/>
          <w:lang w:val="fr-CA"/>
        </w:rPr>
        <w:t>Ce</w:t>
      </w:r>
      <w:r w:rsidR="003C7F0A">
        <w:rPr>
          <w:rFonts w:ascii="Calibri" w:hAnsi="Calibri" w:cs="Calibri"/>
          <w:sz w:val="24"/>
          <w:szCs w:val="24"/>
          <w:lang w:val="fr-CA"/>
        </w:rPr>
        <w:t xml:space="preserve">tte situation </w:t>
      </w:r>
      <w:r w:rsidR="003A2947">
        <w:rPr>
          <w:rFonts w:ascii="Calibri" w:hAnsi="Calibri" w:cs="Calibri"/>
          <w:sz w:val="24"/>
          <w:szCs w:val="24"/>
          <w:lang w:val="fr-CA"/>
        </w:rPr>
        <w:t xml:space="preserve">exerce un effet </w:t>
      </w:r>
      <w:r w:rsidR="002C637B">
        <w:rPr>
          <w:rFonts w:ascii="Calibri" w:hAnsi="Calibri" w:cs="Calibri"/>
          <w:sz w:val="24"/>
          <w:szCs w:val="24"/>
          <w:lang w:val="fr-CA"/>
        </w:rPr>
        <w:t xml:space="preserve">commercial </w:t>
      </w:r>
      <w:r w:rsidR="003A2947">
        <w:rPr>
          <w:rFonts w:ascii="Calibri" w:hAnsi="Calibri" w:cs="Calibri"/>
          <w:sz w:val="24"/>
          <w:szCs w:val="24"/>
          <w:lang w:val="fr-CA"/>
        </w:rPr>
        <w:t xml:space="preserve">direct </w:t>
      </w:r>
      <w:r w:rsidR="002C637B">
        <w:rPr>
          <w:rFonts w:ascii="Calibri" w:hAnsi="Calibri" w:cs="Calibri"/>
          <w:sz w:val="24"/>
          <w:szCs w:val="24"/>
          <w:lang w:val="fr-CA"/>
        </w:rPr>
        <w:t xml:space="preserve">sur les revenus d’exportations, la gestion du risque et la prévisibilité des opérations </w:t>
      </w:r>
      <w:r w:rsidR="003A2947">
        <w:rPr>
          <w:rFonts w:ascii="Calibri" w:hAnsi="Calibri" w:cs="Calibri"/>
          <w:sz w:val="24"/>
          <w:szCs w:val="24"/>
          <w:lang w:val="fr-CA"/>
        </w:rPr>
        <w:t xml:space="preserve">pour les </w:t>
      </w:r>
      <w:r w:rsidR="0032795F">
        <w:rPr>
          <w:rFonts w:ascii="Calibri" w:hAnsi="Calibri" w:cs="Calibri"/>
          <w:sz w:val="24"/>
          <w:szCs w:val="24"/>
          <w:lang w:val="fr-CA"/>
        </w:rPr>
        <w:t>agriculteurs</w:t>
      </w:r>
      <w:r w:rsidR="003A2947">
        <w:rPr>
          <w:rFonts w:ascii="Calibri" w:hAnsi="Calibri" w:cs="Calibri"/>
          <w:sz w:val="24"/>
          <w:szCs w:val="24"/>
          <w:lang w:val="fr-CA"/>
        </w:rPr>
        <w:t>, les producteurs et les exportateurs, quelle que soit la taille de leur entreprise</w:t>
      </w:r>
      <w:r w:rsidR="00A01570" w:rsidRPr="000D132E">
        <w:rPr>
          <w:rFonts w:ascii="Calibri" w:hAnsi="Calibri" w:cs="Calibri"/>
          <w:sz w:val="24"/>
          <w:szCs w:val="24"/>
          <w:lang w:val="fr-CA"/>
        </w:rPr>
        <w:t>.</w:t>
      </w:r>
    </w:p>
    <w:p w:rsidR="002C637B" w:rsidRDefault="002C637B" w:rsidP="002C637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120"/>
        <w:jc w:val="both"/>
        <w:rPr>
          <w:rFonts w:ascii="Calibri" w:hAnsi="Calibri" w:cs="Calibri"/>
          <w:sz w:val="24"/>
          <w:szCs w:val="24"/>
          <w:lang w:val="fr-CA"/>
        </w:rPr>
      </w:pPr>
    </w:p>
    <w:p w:rsidR="002C637B" w:rsidRDefault="002C637B" w:rsidP="002C637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120"/>
        <w:jc w:val="both"/>
        <w:rPr>
          <w:rFonts w:ascii="Calibri" w:hAnsi="Calibri" w:cs="Calibri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CA"/>
        </w:rPr>
        <w:sectPr w:rsidR="00A01570" w:rsidRPr="000D132E">
          <w:pgSz w:w="12240" w:h="15840"/>
          <w:pgMar w:top="1128" w:right="1180" w:bottom="392" w:left="1440" w:header="720" w:footer="720" w:gutter="0"/>
          <w:cols w:space="720" w:equalWidth="0">
            <w:col w:w="9620"/>
          </w:cols>
          <w:noEndnote/>
        </w:sectPr>
      </w:pPr>
    </w:p>
    <w:p w:rsidR="00A01570" w:rsidRPr="000D132E" w:rsidRDefault="00C04EAA" w:rsidP="005244CF">
      <w:pPr>
        <w:widowControl w:val="0"/>
        <w:tabs>
          <w:tab w:val="left" w:pos="1160"/>
          <w:tab w:val="left" w:pos="1720"/>
          <w:tab w:val="left" w:pos="2480"/>
          <w:tab w:val="left" w:pos="3340"/>
          <w:tab w:val="left" w:pos="4300"/>
          <w:tab w:val="left" w:pos="5160"/>
          <w:tab w:val="left" w:pos="6300"/>
          <w:tab w:val="left" w:pos="6700"/>
          <w:tab w:val="left" w:pos="7220"/>
          <w:tab w:val="left" w:pos="8220"/>
          <w:tab w:val="left" w:pos="860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fr-CA"/>
        </w:rPr>
      </w:pPr>
      <w:bookmarkStart w:id="4" w:name="page3"/>
      <w:bookmarkStart w:id="5" w:name="_Hlk494969537"/>
      <w:bookmarkEnd w:id="4"/>
      <w:r w:rsidRPr="000D132E">
        <w:rPr>
          <w:rFonts w:ascii="Calibri Light" w:hAnsi="Calibri Light" w:cs="Calibri Light"/>
          <w:lang w:val="fr-CA"/>
        </w:rPr>
        <w:lastRenderedPageBreak/>
        <w:t>4.</w:t>
      </w:r>
      <w:r w:rsidRPr="000D132E">
        <w:rPr>
          <w:rFonts w:ascii="Times New Roman" w:hAnsi="Times New Roman"/>
          <w:sz w:val="24"/>
          <w:szCs w:val="24"/>
          <w:lang w:val="fr-CA"/>
        </w:rPr>
        <w:tab/>
      </w:r>
      <w:r>
        <w:rPr>
          <w:rFonts w:ascii="Times New Roman" w:hAnsi="Times New Roman"/>
          <w:sz w:val="24"/>
          <w:szCs w:val="24"/>
          <w:lang w:val="fr-CA"/>
        </w:rPr>
        <w:t>La Politique</w:t>
      </w:r>
      <w:r w:rsidR="00AF3E5B">
        <w:rPr>
          <w:rFonts w:ascii="Calibri" w:hAnsi="Calibri" w:cs="Calibri"/>
          <w:sz w:val="24"/>
          <w:szCs w:val="24"/>
          <w:lang w:val="fr-CA"/>
        </w:rPr>
        <w:t xml:space="preserve"> </w:t>
      </w:r>
      <w:r w:rsidRPr="00C04EAA">
        <w:rPr>
          <w:rFonts w:ascii="Calibri" w:hAnsi="Calibri" w:cs="Calibri"/>
          <w:sz w:val="24"/>
          <w:szCs w:val="24"/>
          <w:lang w:val="fr-CA"/>
        </w:rPr>
        <w:t xml:space="preserve">devrait permettre que des ressources adéquates soient attribuées </w:t>
      </w:r>
      <w:r>
        <w:rPr>
          <w:rFonts w:ascii="Calibri" w:hAnsi="Calibri" w:cs="Calibri"/>
          <w:sz w:val="24"/>
          <w:szCs w:val="24"/>
          <w:lang w:val="fr-CA"/>
        </w:rPr>
        <w:t>au réseau des représentants canadiens</w:t>
      </w:r>
      <w:bookmarkEnd w:id="5"/>
      <w:r w:rsidR="005244CF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 xml:space="preserve">à l’étranger, particulièrement dans les Ambassades et auprès des </w:t>
      </w:r>
      <w:r w:rsidR="005244CF">
        <w:rPr>
          <w:rFonts w:ascii="Calibri" w:hAnsi="Calibri" w:cs="Calibri"/>
          <w:sz w:val="24"/>
          <w:szCs w:val="24"/>
          <w:lang w:val="fr-CA"/>
        </w:rPr>
        <w:t>délégués commerciaux en agriculture.</w:t>
      </w:r>
      <w:r w:rsidR="00A01570" w:rsidRPr="000D132E">
        <w:rPr>
          <w:rFonts w:ascii="Calibri" w:hAnsi="Calibri" w:cs="Calibri"/>
          <w:sz w:val="24"/>
          <w:szCs w:val="24"/>
          <w:lang w:val="fr-CA"/>
        </w:rPr>
        <w:t xml:space="preserve"> </w:t>
      </w:r>
      <w:r w:rsidR="005244CF">
        <w:rPr>
          <w:rFonts w:ascii="Calibri" w:hAnsi="Calibri" w:cs="Calibri"/>
          <w:sz w:val="24"/>
          <w:szCs w:val="24"/>
          <w:lang w:val="fr-CA"/>
        </w:rPr>
        <w:t>La capacité du Canada à se doter d’une industrie concurrentielle dépend en grande partie de l’efficacité avec laquelle le pays réussit à s’ouvrir des portes à l’étranger.</w:t>
      </w: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F3E5B" w:rsidP="0032795F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720" w:right="140"/>
        <w:rPr>
          <w:rFonts w:ascii="Symbol" w:hAnsi="Symbol" w:cs="Symbol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 xml:space="preserve">En conclusion, la Politique alimentaire du Canada devrait mettre fortement l’accent </w:t>
      </w:r>
      <w:r w:rsidR="0032795F">
        <w:rPr>
          <w:rFonts w:ascii="Calibri" w:hAnsi="Calibri" w:cs="Calibri"/>
          <w:sz w:val="24"/>
          <w:szCs w:val="24"/>
          <w:lang w:val="fr-CA"/>
        </w:rPr>
        <w:t>sur la création d’un environnement commercial qui soit le plus concurrentiel possible en vue de continuer à produire des aliments de qualité supérieure et d’accroître significativement la contribution du secteur agricole à l’économie canadienne.</w:t>
      </w:r>
    </w:p>
    <w:p w:rsidR="0032795F" w:rsidRDefault="0032795F" w:rsidP="00327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  <w:lang w:val="fr-CA"/>
        </w:rPr>
      </w:pPr>
    </w:p>
    <w:p w:rsidR="00A01570" w:rsidRPr="000D132E" w:rsidRDefault="0032795F" w:rsidP="00327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Symbol" w:hAnsi="Symbol" w:cs="Symbol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Merci</w:t>
      </w:r>
      <w:r w:rsidR="00A01570" w:rsidRPr="000D132E">
        <w:rPr>
          <w:rFonts w:ascii="Calibri" w:hAnsi="Calibri" w:cs="Calibri"/>
          <w:sz w:val="24"/>
          <w:szCs w:val="24"/>
          <w:lang w:val="fr-CA"/>
        </w:rPr>
        <w:t>.</w:t>
      </w: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CA"/>
        </w:rPr>
      </w:pPr>
    </w:p>
    <w:p w:rsidR="00A01570" w:rsidRPr="000D132E" w:rsidRDefault="00A0157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fr-CA"/>
        </w:rPr>
      </w:pPr>
    </w:p>
    <w:sectPr w:rsidR="00A01570" w:rsidRPr="000D132E">
      <w:pgSz w:w="12240" w:h="15840"/>
      <w:pgMar w:top="1116" w:right="1180" w:bottom="392" w:left="1440" w:header="720" w:footer="720" w:gutter="0"/>
      <w:cols w:space="720" w:equalWidth="0">
        <w:col w:w="96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3B3" w:rsidRDefault="007143B3" w:rsidP="00033905">
      <w:pPr>
        <w:spacing w:after="0" w:line="240" w:lineRule="auto"/>
      </w:pPr>
      <w:r>
        <w:separator/>
      </w:r>
    </w:p>
  </w:endnote>
  <w:endnote w:type="continuationSeparator" w:id="0">
    <w:p w:rsidR="007143B3" w:rsidRDefault="007143B3" w:rsidP="0003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3B3" w:rsidRDefault="007143B3" w:rsidP="00033905">
      <w:pPr>
        <w:spacing w:after="0" w:line="240" w:lineRule="auto"/>
      </w:pPr>
      <w:r>
        <w:separator/>
      </w:r>
    </w:p>
  </w:footnote>
  <w:footnote w:type="continuationSeparator" w:id="0">
    <w:p w:rsidR="007143B3" w:rsidRDefault="007143B3" w:rsidP="00033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6784"/>
    <w:lvl w:ilvl="0" w:tplc="00004AE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8BE"/>
    <w:multiLevelType w:val="hybridMultilevel"/>
    <w:tmpl w:val="00005F90"/>
    <w:lvl w:ilvl="0" w:tplc="000016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823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9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EC91D20"/>
    <w:multiLevelType w:val="hybridMultilevel"/>
    <w:tmpl w:val="FEA6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17F5"/>
    <w:multiLevelType w:val="hybridMultilevel"/>
    <w:tmpl w:val="A93E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9D"/>
    <w:rsid w:val="00033905"/>
    <w:rsid w:val="000D132E"/>
    <w:rsid w:val="00107F96"/>
    <w:rsid w:val="00113888"/>
    <w:rsid w:val="001370A7"/>
    <w:rsid w:val="00154267"/>
    <w:rsid w:val="001A21E0"/>
    <w:rsid w:val="001D3C34"/>
    <w:rsid w:val="002C637B"/>
    <w:rsid w:val="0032795F"/>
    <w:rsid w:val="003A2947"/>
    <w:rsid w:val="003C7F0A"/>
    <w:rsid w:val="003D4D54"/>
    <w:rsid w:val="004335D7"/>
    <w:rsid w:val="005244CF"/>
    <w:rsid w:val="00547E4E"/>
    <w:rsid w:val="00575E8D"/>
    <w:rsid w:val="005A080A"/>
    <w:rsid w:val="0060184E"/>
    <w:rsid w:val="00675B3D"/>
    <w:rsid w:val="007143B3"/>
    <w:rsid w:val="00715F43"/>
    <w:rsid w:val="007F7C6F"/>
    <w:rsid w:val="00872263"/>
    <w:rsid w:val="00873014"/>
    <w:rsid w:val="00952401"/>
    <w:rsid w:val="009D59E7"/>
    <w:rsid w:val="00A01570"/>
    <w:rsid w:val="00A71493"/>
    <w:rsid w:val="00AE2BEA"/>
    <w:rsid w:val="00AF3E5B"/>
    <w:rsid w:val="00B03E9D"/>
    <w:rsid w:val="00B32B90"/>
    <w:rsid w:val="00C04EAA"/>
    <w:rsid w:val="00C05CA6"/>
    <w:rsid w:val="00CD0722"/>
    <w:rsid w:val="00D009D7"/>
    <w:rsid w:val="00DE1B10"/>
    <w:rsid w:val="00F413E1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6D03CFE2-631F-43B0-8982-182BE10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390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33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39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Cafta-Assistant</dc:creator>
  <cp:keywords/>
  <dc:description/>
  <cp:lastModifiedBy>Alex</cp:lastModifiedBy>
  <cp:revision>2</cp:revision>
  <dcterms:created xsi:type="dcterms:W3CDTF">2017-10-05T21:21:00Z</dcterms:created>
  <dcterms:modified xsi:type="dcterms:W3CDTF">2017-10-05T21:21:00Z</dcterms:modified>
</cp:coreProperties>
</file>